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74</w:t>
      </w:r>
    </w:p>
    <w:p>
      <w:r>
        <w:t>Bundesgericht (BGE), 1968-10-10, DE</w:t>
      </w:r>
    </w:p>
    <w:p>
      <w:r>
        <w:rPr>
          <w:b/>
        </w:rPr>
        <w:t xml:space="preserve">Quelle: </w:t>
      </w:r>
      <w:r>
        <w:t>https://mcp.opencaselaw.ch/entscheid/bge_94 III 74</w:t>
      </w:r>
    </w:p>
    <w:p>
      <w:r>
        <w:t>FR: ATF 94 III 74</w:t>
      </w:r>
    </w:p>
    <w:p>
      <w:r>
        <w:t>IT: DTF 94 III 74</w:t>
      </w:r>
    </w:p>
    <w:p>
      <w:pPr>
        <w:pStyle w:val="Heading2"/>
      </w:pPr>
      <w:r>
        <w:t>Regeste</w:t>
      </w:r>
    </w:p>
    <w:p>
      <w:r>
        <w:t>Regeste Fortsetzung der Betreibung (Art. 88 SchKG) auf Grund eines nach dem Rechtsvorschlag des Schuldners auf dem Wege des ordentlichen Prozesses (Art. 79 SchKG) erstrittenen Urteils oder eines in einem solchen Prozess abgeschlossenen gerichtlichen Vergleichs. Dem Fortsetzungsbegehren ist grundsätzlich nur zu entsprechen, wenn die Forderungssumme im Urteil oder Vergleich wie im Betreibungsbegehren (Art. 67 Abs. 1 Ziff. 3 SchKG) und im Fortsetzungsbegehren in gesetzlicher Schweizerwährung angegeben ist. Ein Vergleich, wonach sich der Betriebene zu einer Überweisung in WIR-Checks verpflichtet, erlaubt die Fortsetzung der Betreibung nicht.</w:t>
      </w:r>
    </w:p>
    <w:p>
      <w:pPr>
        <w:pStyle w:val="Heading2"/>
      </w:pPr>
      <w:r>
        <w:t>Erwägungen</w:t>
      </w:r>
    </w:p>
    <w:p>
      <w:r>
        <w:rPr>
          <w:b/>
        </w:rPr>
        <w:t>E. 3</w:t>
      </w:r>
    </w:p>
    <w:p>
      <w:r>
        <w:t>Erstreitet der betreibende Gläubiger, nachdem der Schuldner Rechtsvorschlag erhoben hat, auf dem Wege des ordentlichen Prozesses ein vollstreckbares Urteil, das ihm die in Betreibung gesetzte Forderung in unbedingter Form ganz oder teilweise zuspricht, so kann er gestützt auf dieses Urteil für den ihm zugesprochenen Betrag das Fortsetzungsbegehren stellen, auch wenn das Urteil den Rechtsvorschlag nicht ausdrücklich aufhebt ( BGE 75 III 45 , BGE 77 III 149 ). Die gleiche Wirkung hat ein in einem solchen Prozess abgeschlossener gerichtlicher Vergleich, soweit darin die in Betreibung gesetzte BGE 94 III 74 S. 76 Forderung bedingungslos anerkannt wird ( BGE 90 III 74 f. mit Hinweisen). Im vorliegenden Falle hat der Rekurrent eine Forderung von Fr. 8395.-- in Betreibung gesetzt. Unter Fr. 8395.-- sind dabei unstreitig Fr. 8395.-- in gesetzlicher Schweizerwährung zu verstehen. Wäre die Forderungssumme im Betreibungsbegehren in einer andern Währung angegeben worden, so hätte dem Begehren nach Art. 67 Abs. 1 Ziff. 3 SchKG , wonach die Forderungssumme (bezw. die Summe, für die Sicherheit verlangt wird) in gesetzlicher Schweizerwährung anzugeben ist, überhaupt nicht Folge gegeben werden dürfen. Insbesondere hätte ein auf eine bestimmte Summe in WIR-Checks lautendes Begehren zurückgewiesen werden müssen, selbst wenn diese Checks Geldzeichen und Zahlungen in solchen Checks Geldzahlungen im Sinne von Art. 38 Abs. 1 SchKG sein sollten; denn auf jeden Fall ist das sog. WIR-Geld nicht gesetzliche Schweizerwährung im Sinne von Art. 67 Abs. 1 Ziff. 3 SchKG . Auch das Fortsetzungsbegehren des Rekurrenten lautete auf Fr. 8395.--, worunter wie im Betreibungsbegehren Fr. 8395.-- in gesetzlicher Schweizerwährung zu verstehen sind. Das in Art. 67 Abs. 1 Ziff. 3 SchKG aufgestellte Erfordernis der Angabe der Forderungssumme in gesetzlicher Schweizerwährung gilt auch für das Fortsetzungsbegehren ( BGE 43 III 272 ) wie überhaupt für das ganze Betreibungsverfahren (vgl. das obligatorische Formular Nr. 4, Begehren um Fortsetzung der Betreibung, wo die Angabe der Forderung in "Fr.", d.h. in Schweizerfranken verlangt wird). Ein Fortsetzungsbegehren, in dem die Forderung nicht in gesetzlicher Schweizerwährung, sondern z.B. in WIR-Checks angegeben worden wäre, hätte schon aus diesem Grunde zurückgewiesen werden müssen. Lautet das Fortsetzungsbegehren auf Schweizerfranken und darf es nicht anders lauten, so kann ihm auf Grund eines nach dem Rechtsvorschlag des Schuldners erstrittenen Urteils oder eines im Forderungsprozess geschlossenen Vergleichs nur entsprochen werden, wenn die Forderungssumme im Urteil oder im Vergleich ebenfalls in gesetzlicher Schweizerwährung angegeben ist. Eine Angabe in einer andern Währung kann höchstens dann genügen, wenn das Urteil oder der Vergleich zugleich den Umrechnungskurs zahlenmässig genau festlegt. Ein Urteil oder Vergleich, wonach die Umrechnung zu einem erst noch zu ermittelnden Kurs zu erfolgen hat, erlaubt die Fortsetzung der BGE 94 III 74 S. 77 Betreibung nicht (vgl. BGE 43 III 272 , wonach ein Rechtsöffnungsentscheid, der die Forderungssumme in fremder Währung angibt und für die Umrechnung den Kurs des Zahlungstages als massgebend erklärt, keine genügende Grundlage für die Fortsetzung der Betreibung bildet; vgl. auch JAEGER N. 16 zu Art. 67 SchKG ). Im Vergleich vom 29. Mai 1968, auf den der Rekurrent sich beruft, hat Pini nur "eine Schuld von Fr. 11 500.-- in WIR'geld" anerkannt und sich bloss verpflichtet, dem Rekurrenten diesen Betrag bis zum 30. Juni 1968 "in WIR-Checks" zu überweisen. Der Vergleich gibt also die Forderungssumme nicht in gesetzlicher Schweizerwährung an und sagt auch nicht etwa, zu welchem Kurs das "WIR-Geld" in diese Währung umzurechnen sei. Er bestimmt nicht einmal, dass Pini den Gegenwert des geschuldeten "WIR"-Betrages in Schweizerfranken zu entrichten habe, sondern sieht eine Überweisung in "WIR-Checks" vor. Aus diesen Gründen gestattet er dem Rekurrenten nicht, die Fortsetzung der Betreibung zu verlangen. Der Rekurrent macht dem Sinne nach freilich geltend, der Vergleich erlaube dem Schuldner die Zahlung in WIR-Checks nur unter der Bedingung, dass er seine Leistung bis zum 30. Juni 1968 erbringe; bei Ausfall dieser Bedingung müsse er in Schweizerfranken zahlen; dabei habe als von den Parteien anerkannt zu gelten, dass 11 500 WIR in 8395 Schweizerfranken umzurechnen seien. Das geht jedoch aus dem Wortlaut des Vergleichs nicht hervor, und es kann nicht Sache der Betreibungsbehörden sein, zu untersuchen, ob der Vergleich einen darin nicht ausgesprochenen Sinn habe. Die Betreibung kann nur auf Grund eines klaren Vollstreckungstitels fortgesetzt werden ( BGE 90 III 75 ). Da der Entscheid über die Begründetheit und die Höhe der in Betreibung gesetzten Forderung dem Richter vorbehalten ist, dürfen die Betreibungsbehörden insbesondere auch nicht darüber befinden, ob der Schuldner die Zulässigkeit der vom Rekurrenten vorgenommenen Umrechnung und die Massgeblichkeit des von ihm angewandten Umrechnungskurses in missbräuchlicher Weise bestreite. Will der Rekurrent daran festhalten, dass Pini ihm 8395 Schweizerfranken schulde, weil er die vereinbarte Überweisung in WIR-Checks nicht rechtzeitig vornahm, so bleibt dem Rekurrenten nichts anderes übrig, als von neuem den Richter anzurufen. BGE 94 III 74 S. 78 Sollte es ihm nicht gelingen, einen auf Schweizerfranken lautenden Vollstreckungstitel zu erlangen, so bliebe ihm allenfalls (wenn die WIR-Checks nicht Geldzeichen, sondern Sachen sein sollten, was hier nicht zu entscheiden ist) der Weg der Realexekution nach kantonalem Recht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